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2E7153"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DD19DF7"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Standard 202</w:t>
            </w:r>
            <w:r w:rsidR="007A2176">
              <w:rPr>
                <w:b/>
                <w:bCs/>
                <w:szCs w:val="20"/>
              </w:rPr>
              <w:t>4</w:t>
            </w:r>
            <w:r>
              <w:rPr>
                <w:b/>
                <w:bCs/>
                <w:szCs w:val="20"/>
              </w:rPr>
              <w:t xml:space="preserve"> Edition </w:t>
            </w:r>
            <w:r w:rsidR="00D12B87">
              <w:rPr>
                <w:rStyle w:val="FootnoteReference"/>
                <w:b/>
                <w:bCs/>
                <w:szCs w:val="20"/>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B3E337B" w:rsidR="008D23A7" w:rsidRPr="002E7153"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D12B87" w:rsidRPr="00D12B87">
              <w:rPr>
                <w:rStyle w:val="FootnoteReference"/>
                <w:sz w:val="24"/>
                <w:szCs w:val="24"/>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L’UTENTE FINALE</w:t>
            </w:r>
          </w:p>
        </w:tc>
      </w:tr>
    </w:tbl>
    <w:p w14:paraId="07ECB1DC" w14:textId="786A1F1A" w:rsidR="00FD75BC" w:rsidRPr="002E7153"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NEGLI </w:t>
      </w:r>
      <w:r>
        <w:rPr>
          <w:b/>
          <w:sz w:val="20"/>
          <w:szCs w:val="20"/>
        </w:rPr>
        <w:t>STATI UNITI, DOVRÀ LEGGERE LA CLAUSOLA DI ARBITRATO VINCOLANTE E LA RINUNCIA ALL’AZIONE DI CLASSE NELL’ARTICOLO 8, CHE RIGUARDA LA MODALITÀ DI RISOLUZIONE DELLE CONTROVERSIE CON IL LICENZIANTE O MICROSOFT.</w:t>
      </w:r>
    </w:p>
    <w:p w14:paraId="409C2007" w14:textId="234420C2" w:rsidR="00FD2E77" w:rsidRPr="002E7153" w:rsidRDefault="00FD75BC" w:rsidP="009A7D95">
      <w:pPr>
        <w:spacing w:before="120" w:after="120"/>
      </w:pPr>
      <w:r>
        <w:rPr>
          <w:b/>
          <w:sz w:val="20"/>
          <w:szCs w:val="20"/>
        </w:rPr>
        <w:t>Grazie per aver scelto un’applicazione software che include Microsoft Visio Standard.</w:t>
      </w:r>
    </w:p>
    <w:p w14:paraId="7B2F7569" w14:textId="2704D9C8" w:rsidR="00746776" w:rsidRPr="002E7153" w:rsidRDefault="00FD4666" w:rsidP="009A7D95">
      <w:pPr>
        <w:spacing w:before="120" w:after="120"/>
      </w:pPr>
      <w:r>
        <w:rPr>
          <w:sz w:val="20"/>
          <w:szCs w:val="20"/>
        </w:rPr>
        <w:t>Il presente contratto di licenza viene stipulato tra il licenziatario e il licenziante dell’applicazione software o della famiglia di applicazioni presso cui il licenziatario ha acquistato il software Microsoft (“Licenziante”).</w:t>
      </w:r>
    </w:p>
    <w:p w14:paraId="2961AE9D" w14:textId="0AF21681" w:rsidR="0000160A" w:rsidRPr="002E7153"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Visio Standard. Il licenziatario dovrà rivedere l’intero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5EA861C5" w:rsidR="00D23716" w:rsidRPr="002E7153"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l’attivazione e</w:t>
      </w:r>
      <w:r w:rsidR="00D12B87">
        <w:rPr>
          <w:b/>
          <w:bCs/>
          <w:sz w:val="20"/>
          <w:szCs w:val="20"/>
        </w:rPr>
        <w:t> </w:t>
      </w:r>
      <w:r>
        <w:rPr>
          <w:b/>
          <w:bCs/>
          <w:sz w:val="20"/>
          <w:szCs w:val="20"/>
        </w:rPr>
        <w:t xml:space="preserve">durante l’utilizzo del software in conformità all’Informativa sulla Privacy di Microsoft descritta all’Articolo </w:t>
      </w:r>
      <w:r>
        <w:rPr>
          <w:b/>
          <w:sz w:val="20"/>
          <w:szCs w:val="20"/>
        </w:rPr>
        <w:t>4</w:t>
      </w:r>
      <w:r>
        <w:rPr>
          <w:b/>
          <w:bCs/>
          <w:sz w:val="20"/>
          <w:szCs w:val="20"/>
        </w:rPr>
        <w:t>. Qualora il licenziatario non accetti le presenti condizioni e non vi si</w:t>
      </w:r>
      <w:r w:rsidR="00D12B87">
        <w:rPr>
          <w:b/>
          <w:bCs/>
          <w:sz w:val="20"/>
          <w:szCs w:val="20"/>
        </w:rPr>
        <w:t> </w:t>
      </w:r>
      <w:r>
        <w:rPr>
          <w:b/>
          <w:bCs/>
          <w:sz w:val="20"/>
          <w:szCs w:val="20"/>
        </w:rPr>
        <w:t xml:space="preserve">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2E7153" w:rsidRDefault="00A0394E" w:rsidP="009A7D95">
      <w:pPr>
        <w:pStyle w:val="ListParagraph"/>
        <w:numPr>
          <w:ilvl w:val="0"/>
          <w:numId w:val="12"/>
        </w:numPr>
        <w:tabs>
          <w:tab w:val="left" w:pos="360"/>
        </w:tabs>
        <w:spacing w:before="120" w:after="120"/>
        <w:ind w:left="360"/>
        <w:contextualSpacing w:val="0"/>
      </w:pPr>
      <w:bookmarkStart w:id="2" w:name="OLE_LINK1"/>
      <w:bookmarkStart w:id="3" w:name="OLE_LINK2"/>
      <w:bookmarkStart w:id="4" w:name="OLE_LINK3"/>
      <w:r>
        <w:rPr>
          <w:b/>
          <w:bCs/>
          <w:sz w:val="20"/>
          <w:szCs w:val="20"/>
        </w:rPr>
        <w:t>PREMESSE.</w:t>
      </w:r>
    </w:p>
    <w:p w14:paraId="692B3DEC" w14:textId="469C9A3C" w:rsidR="0039417B"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Visio Standard, ai</w:t>
      </w:r>
      <w:r w:rsidR="00D12B87">
        <w:rPr>
          <w:bCs/>
          <w:sz w:val="20"/>
          <w:szCs w:val="20"/>
        </w:rPr>
        <w:t> </w:t>
      </w:r>
      <w:r>
        <w:rPr>
          <w:bCs/>
          <w:sz w:val="20"/>
          <w:szCs w:val="20"/>
        </w:rPr>
        <w:t>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46576DB9" w:rsidR="00053E7C"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L’utilizzo da parte del licenziatario di determinati servizi, funzionalità e</w:t>
      </w:r>
      <w:r w:rsidR="00D12B87">
        <w:rPr>
          <w:bCs/>
          <w:sz w:val="20"/>
          <w:szCs w:val="20"/>
        </w:rPr>
        <w:t> </w:t>
      </w:r>
      <w:r>
        <w:rPr>
          <w:bCs/>
          <w:sz w:val="20"/>
          <w:szCs w:val="20"/>
        </w:rPr>
        <w:t>app potrà essere soggetto a condizioni aggiuntive di Microsoft e di terzi. Il licenziatario dovrà assicurarsi di leggerle.</w:t>
      </w:r>
    </w:p>
    <w:p w14:paraId="5E1A4136" w14:textId="25BFF271" w:rsidR="00C245C1" w:rsidRPr="002E7153"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Alcune funzionalità del software forniscono un punto di accesso ai servizi online o si basano su di essi. L’utilizzo di tali servizi è talvolta disciplinato da condizioni e informative sulla privacy specifiche, quali il Contratto di Servizi Microsoft all’indirizzo </w:t>
      </w:r>
      <w:r>
        <w:rPr>
          <w:color w:val="000000" w:themeColor="text1"/>
          <w:sz w:val="20"/>
          <w:szCs w:val="20"/>
        </w:rPr>
        <w:t>(</w:t>
      </w:r>
      <w:hyperlink r:id="rId11" w:history="1">
        <w:r>
          <w:rPr>
            <w:rStyle w:val="Hyperlink"/>
            <w:bCs/>
            <w:sz w:val="20"/>
            <w:szCs w:val="20"/>
          </w:rPr>
          <w:t>aka.ms/msa</w:t>
        </w:r>
      </w:hyperlink>
      <w:r>
        <w:rPr>
          <w:bCs/>
          <w:sz w:val="20"/>
          <w:szCs w:val="20"/>
        </w:rPr>
        <w:t>). Il</w:t>
      </w:r>
      <w:r w:rsidR="00D12B87">
        <w:rPr>
          <w:bCs/>
          <w:sz w:val="20"/>
          <w:szCs w:val="20"/>
        </w:rPr>
        <w:t> </w:t>
      </w:r>
      <w:r>
        <w:rPr>
          <w:bCs/>
          <w:sz w:val="20"/>
          <w:szCs w:val="20"/>
        </w:rPr>
        <w:t>licenziatario può prendere visione di tali condizioni e informative consultando le condizioni per l’utilizzo dei servizi applicabili. I servizi potrebbero non essere disponibili in tutti i paesi.</w:t>
      </w:r>
    </w:p>
    <w:p w14:paraId="6005316C" w14:textId="48F73B11" w:rsidR="00053E7C" w:rsidRPr="002E7153"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2E7153"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2"/>
    <w:bookmarkEnd w:id="3"/>
    <w:bookmarkEnd w:id="4"/>
    <w:p w14:paraId="2A90F224" w14:textId="10EBCC67" w:rsidR="0039417B" w:rsidRPr="002E7153"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SULL’UTILIZZO.</w:t>
      </w:r>
    </w:p>
    <w:p w14:paraId="26ECB5AD" w14:textId="447D8FA0" w:rsidR="00482AB8"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Licenza.</w:t>
      </w:r>
      <w:r>
        <w:rPr>
          <w:sz w:val="20"/>
          <w:szCs w:val="20"/>
        </w:rPr>
        <w:t xml:space="preserve"> </w:t>
      </w:r>
      <w:r>
        <w:rPr>
          <w:bCs/>
          <w:sz w:val="20"/>
          <w:szCs w:val="20"/>
        </w:rPr>
        <w:t>Il software non viene venduto, ma è concesso in licenza</w:t>
      </w:r>
      <w:r>
        <w:rPr>
          <w:sz w:val="20"/>
          <w:szCs w:val="20"/>
        </w:rPr>
        <w:t xml:space="preserve">. </w:t>
      </w:r>
      <w:r>
        <w:rPr>
          <w:bCs/>
          <w:sz w:val="20"/>
          <w:szCs w:val="20"/>
        </w:rPr>
        <w:t>Purché il licenziatario si conformi a tutte le condizioni contenute nel presente contratto, Microsoft gli concede il diritto di</w:t>
      </w:r>
      <w:r w:rsidR="00D12B87">
        <w:rPr>
          <w:bCs/>
          <w:sz w:val="20"/>
          <w:szCs w:val="20"/>
        </w:rPr>
        <w:t> </w:t>
      </w:r>
      <w:r>
        <w:rPr>
          <w:bCs/>
          <w:sz w:val="20"/>
          <w:szCs w:val="20"/>
        </w:rPr>
        <w:t xml:space="preserve">installare ed eseguire una sola istanza del software sul dispositivo in uso (il dispositivo con licenza), che può essere utilizzata da una sola persona alla volta. Il licenziatario dovrà prendere visione degli Articoli </w:t>
      </w:r>
      <w:r>
        <w:rPr>
          <w:sz w:val="20"/>
          <w:szCs w:val="20"/>
        </w:rPr>
        <w:t>11-13</w:t>
      </w:r>
      <w:r>
        <w:rPr>
          <w:bCs/>
          <w:sz w:val="20"/>
          <w:szCs w:val="20"/>
        </w:rPr>
        <w:t xml:space="preserve"> che seguono per le licenze e le condizioni specifiche delle versioni con diritti limitati, </w:t>
      </w:r>
      <w:r>
        <w:rPr>
          <w:sz w:val="20"/>
          <w:szCs w:val="20"/>
        </w:rPr>
        <w:t>di determinate aree geografiche e di edizioni speciali</w:t>
      </w:r>
      <w:r>
        <w:rPr>
          <w:bCs/>
          <w:sz w:val="20"/>
          <w:szCs w:val="20"/>
        </w:rPr>
        <w:t xml:space="preserve">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14:paraId="1E71BF9A" w14:textId="50A513D1" w:rsidR="0039417B" w:rsidRPr="002E7153"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2E7153"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2E7153"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35C5E5D6" w:rsidR="00A160A1" w:rsidRPr="002E7153"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l’hosting di servizi commerciali, renderlo disponibile per l’uso simultaneo da parte di più utenti su una rete, installarlo su un server e</w:t>
      </w:r>
      <w:r w:rsidR="00D12B87">
        <w:rPr>
          <w:sz w:val="20"/>
          <w:szCs w:val="20"/>
        </w:rPr>
        <w:t> </w:t>
      </w:r>
      <w:r>
        <w:rPr>
          <w:sz w:val="20"/>
          <w:szCs w:val="20"/>
        </w:rPr>
        <w:t>consentire agli utenti di accedervi da remoto o installarlo su un dispositivo per l’utilizzo solo</w:t>
      </w:r>
      <w:r w:rsidR="00D12B87">
        <w:rPr>
          <w:sz w:val="20"/>
          <w:szCs w:val="20"/>
        </w:rPr>
        <w:t> </w:t>
      </w:r>
      <w:r>
        <w:rPr>
          <w:sz w:val="20"/>
          <w:szCs w:val="20"/>
        </w:rPr>
        <w:t>da parte di utenti remoti;</w:t>
      </w:r>
    </w:p>
    <w:p w14:paraId="2F9DF55A" w14:textId="50CE6890" w:rsidR="00B363D0"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w:t>
      </w:r>
      <w:r w:rsidR="00D12B87">
        <w:rPr>
          <w:sz w:val="20"/>
          <w:szCs w:val="20"/>
        </w:rPr>
        <w:t> </w:t>
      </w:r>
      <w:r>
        <w:rPr>
          <w:sz w:val="20"/>
          <w:szCs w:val="20"/>
        </w:rPr>
        <w:t>licenziatario potrà effettuare unicamente quanto consentito dalla legge applicabile o</w:t>
      </w:r>
    </w:p>
    <w:p w14:paraId="7BF88245" w14:textId="4BB68666" w:rsidR="00AA6007" w:rsidRPr="00D12B87"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w:t>
      </w:r>
      <w:r w:rsidR="00D12B87">
        <w:rPr>
          <w:sz w:val="20"/>
          <w:szCs w:val="20"/>
        </w:rPr>
        <w:t> </w:t>
      </w:r>
      <w:r>
        <w:rPr>
          <w:sz w:val="20"/>
          <w:szCs w:val="20"/>
        </w:rPr>
        <w:t>interferire con l’uso delle stesse da parte di terzi, né tentare di ottenere, senza autorizzazione, l’accesso a qualsiasi servizio, dato, rete o account oppure di utilizzarlo.</w:t>
      </w:r>
    </w:p>
    <w:p w14:paraId="344ED77D" w14:textId="77777777" w:rsidR="00D12B87" w:rsidRPr="002E7153" w:rsidRDefault="00D12B87" w:rsidP="00D12B87">
      <w:pPr>
        <w:tabs>
          <w:tab w:val="left" w:pos="1080"/>
        </w:tabs>
        <w:spacing w:before="120" w:after="240"/>
      </w:pPr>
    </w:p>
    <w:p w14:paraId="745DF08C" w14:textId="77777777" w:rsidR="00F07769" w:rsidRPr="002E7153"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5BF802A3" w:rsidR="00F07769" w:rsidRPr="002E7153"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dell’acquisto del software, al licenziatario siano state fornite più versioni, ad esempio le versioni a 32 bit e a 64 bit, il licenziatario ne potrà installare e attivare solo una alla volta.</w:t>
      </w:r>
    </w:p>
    <w:p w14:paraId="6FC6C02A" w14:textId="0D954D1B" w:rsidR="00872FAC" w:rsidRPr="00D12B87" w:rsidRDefault="00C5586D" w:rsidP="009A7D95">
      <w:pPr>
        <w:pStyle w:val="ListParagraph"/>
        <w:numPr>
          <w:ilvl w:val="2"/>
          <w:numId w:val="12"/>
        </w:numPr>
        <w:tabs>
          <w:tab w:val="left" w:pos="1080"/>
        </w:tabs>
        <w:spacing w:before="120" w:after="120"/>
        <w:ind w:left="1080" w:hanging="360"/>
        <w:contextualSpacing w:val="0"/>
        <w:rPr>
          <w:spacing w:val="-1"/>
        </w:rPr>
      </w:pPr>
      <w:r w:rsidRPr="00D12B87">
        <w:rPr>
          <w:b/>
          <w:spacing w:val="-1"/>
          <w:sz w:val="20"/>
          <w:szCs w:val="20"/>
        </w:rPr>
        <w:t>Connessioni multiple o in pool.</w:t>
      </w:r>
      <w:r w:rsidRPr="00D12B87">
        <w:rPr>
          <w:spacing w:val="-1"/>
          <w:sz w:val="20"/>
          <w:szCs w:val="20"/>
        </w:rPr>
        <w:t xml:space="preserve"> Il licenziatario non potrà utilizzare l’hardware o il software per il multiplexing o il pooling delle connessioni né consentire a più utenti, computer o</w:t>
      </w:r>
      <w:r w:rsidR="00D12B87" w:rsidRPr="00D12B87">
        <w:rPr>
          <w:spacing w:val="-1"/>
          <w:sz w:val="20"/>
          <w:szCs w:val="20"/>
        </w:rPr>
        <w:t> </w:t>
      </w:r>
      <w:r w:rsidRPr="00D12B87">
        <w:rPr>
          <w:spacing w:val="-1"/>
          <w:sz w:val="20"/>
          <w:szCs w:val="20"/>
        </w:rPr>
        <w:t>dispositivi di accedere al software o utilizzarlo indirettamente tramite il computer con licenza.</w:t>
      </w:r>
    </w:p>
    <w:p w14:paraId="2B9078E3" w14:textId="06598AB2" w:rsidR="00F11641" w:rsidRPr="002E7153"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w:t>
      </w:r>
      <w:r w:rsidR="00D12B87">
        <w:rPr>
          <w:sz w:val="20"/>
          <w:szCs w:val="20"/>
        </w:rPr>
        <w:t> </w:t>
      </w:r>
      <w:r>
        <w:rPr>
          <w:sz w:val="20"/>
          <w:szCs w:val="20"/>
        </w:rPr>
        <w:t>dispositivo virtuale, dovrà ottenere una licenza specifica per ciascuna istanza.</w:t>
      </w:r>
    </w:p>
    <w:p w14:paraId="4E208616" w14:textId="25CA0794" w:rsidR="00993A79" w:rsidRPr="002E7153"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w:t>
      </w:r>
      <w:r w:rsidR="00D12B87">
        <w:rPr>
          <w:sz w:val="20"/>
          <w:szCs w:val="20"/>
        </w:rPr>
        <w:t> </w:t>
      </w:r>
      <w:r>
        <w:rPr>
          <w:sz w:val="20"/>
          <w:szCs w:val="20"/>
        </w:rPr>
        <w:t>licenza da un altro dispositivo tramite le tecnologie di accesso remoto e utilizzarlo, a</w:t>
      </w:r>
      <w:r w:rsidR="00D12B87">
        <w:rPr>
          <w:sz w:val="20"/>
          <w:szCs w:val="20"/>
        </w:rPr>
        <w:t> </w:t>
      </w:r>
      <w:r>
        <w:rPr>
          <w:sz w:val="20"/>
          <w:szCs w:val="20"/>
        </w:rPr>
        <w:t>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tale software.</w:t>
      </w:r>
    </w:p>
    <w:p w14:paraId="56E77CEF" w14:textId="55771AAC" w:rsidR="00993A79" w:rsidRPr="002E7153"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w:t>
      </w:r>
      <w:r w:rsidR="00D12B87">
        <w:rPr>
          <w:sz w:val="20"/>
          <w:szCs w:val="20"/>
        </w:rPr>
        <w:t> </w:t>
      </w:r>
      <w:r>
        <w:rPr>
          <w:sz w:val="20"/>
          <w:szCs w:val="20"/>
        </w:rPr>
        <w:t>condividere una sessione attiva senza dover ottenere ulteriori licenze per il software. Assistenza remota consente a un utente di connettersi direttamente al dispositivo di un altro</w:t>
      </w:r>
      <w:r w:rsidR="00D12B87">
        <w:rPr>
          <w:sz w:val="20"/>
          <w:szCs w:val="20"/>
        </w:rPr>
        <w:t> </w:t>
      </w:r>
      <w:r>
        <w:rPr>
          <w:sz w:val="20"/>
          <w:szCs w:val="20"/>
        </w:rPr>
        <w:t>utente, in genere per correggere eventuali problemi.</w:t>
      </w:r>
    </w:p>
    <w:p w14:paraId="5E474814" w14:textId="1209A9E7" w:rsidR="000907D6" w:rsidRPr="002E7153"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all’Articolo 13.</w:t>
      </w:r>
    </w:p>
    <w:p w14:paraId="702366B6" w14:textId="245737A7" w:rsidR="0039417B" w:rsidRPr="002E7153"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nell’ambito di un trasferimento dell’applicazione o della famiglia di applicazioni software integrate chiavi in mano (la “Soluzione Unificata”) fornita al licenziatario da o</w:t>
      </w:r>
      <w:r w:rsidR="00D12B87">
        <w:rPr>
          <w:bCs/>
          <w:sz w:val="20"/>
          <w:szCs w:val="20"/>
        </w:rPr>
        <w:t> </w:t>
      </w:r>
      <w:r>
        <w:rPr>
          <w:bCs/>
          <w:sz w:val="20"/>
          <w:szCs w:val="20"/>
        </w:rPr>
        <w:t>per conto del licenziante esclusivamente insieme alla Soluzione Unificata, e il diritto di utilizzarlo dovranno essere conformi alla legge applicabile.</w:t>
      </w:r>
    </w:p>
    <w:p w14:paraId="558F0891" w14:textId="7CF869BA" w:rsidR="004131EE" w:rsidRPr="002E7153" w:rsidRDefault="0051539A" w:rsidP="009A7D95">
      <w:pPr>
        <w:pStyle w:val="ListParagraph"/>
        <w:numPr>
          <w:ilvl w:val="1"/>
          <w:numId w:val="12"/>
        </w:numPr>
        <w:tabs>
          <w:tab w:val="left" w:pos="720"/>
        </w:tabs>
        <w:spacing w:before="120" w:after="120"/>
        <w:ind w:left="720"/>
        <w:contextualSpacing w:val="0"/>
      </w:pPr>
      <w:r>
        <w:rPr>
          <w:sz w:val="20"/>
          <w:szCs w:val="20"/>
        </w:rPr>
        <w:t>Il licenziatario potrà trasferire il software in un altro dispositivo di sua proprietà, ma limitatamente a una volta ogni 90 giorni (nel caso in cui si verifichi un guasto hardware, il</w:t>
      </w:r>
      <w:r w:rsidR="00D12B87">
        <w:rPr>
          <w:sz w:val="20"/>
          <w:szCs w:val="20"/>
        </w:rPr>
        <w:t> </w:t>
      </w:r>
      <w:r>
        <w:rPr>
          <w:sz w:val="20"/>
          <w:szCs w:val="20"/>
        </w:rPr>
        <w:t>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nell’ambito della Soluzione Unificata. Il primo utente non potrà più trattenere alcuna copia del</w:t>
      </w:r>
      <w:r w:rsidR="00D12B87">
        <w:rPr>
          <w:sz w:val="20"/>
          <w:szCs w:val="20"/>
        </w:rPr>
        <w:t> </w:t>
      </w:r>
      <w:r>
        <w:rPr>
          <w:sz w:val="20"/>
          <w:szCs w:val="20"/>
        </w:rPr>
        <w:t>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w:t>
      </w:r>
      <w:r w:rsidR="00D12B87">
        <w:rPr>
          <w:sz w:val="20"/>
          <w:szCs w:val="20"/>
        </w:rPr>
        <w:t> </w:t>
      </w:r>
      <w:r>
        <w:rPr>
          <w:sz w:val="20"/>
          <w:szCs w:val="20"/>
        </w:rPr>
        <w:t>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w:t>
      </w:r>
      <w:r w:rsidR="00D12B87">
        <w:rPr>
          <w:sz w:val="20"/>
          <w:szCs w:val="20"/>
        </w:rPr>
        <w:t> </w:t>
      </w:r>
      <w:r>
        <w:rPr>
          <w:sz w:val="20"/>
          <w:szCs w:val="20"/>
        </w:rPr>
        <w:t>dispositivo nuovo, lo dovrà rimuovere dal dispositivo precedente. Il licenziatario non potrà</w:t>
      </w:r>
      <w:r w:rsidR="00D12B87">
        <w:rPr>
          <w:sz w:val="20"/>
          <w:szCs w:val="20"/>
        </w:rPr>
        <w:t> </w:t>
      </w:r>
      <w:r>
        <w:rPr>
          <w:sz w:val="20"/>
          <w:szCs w:val="20"/>
        </w:rPr>
        <w:t>trasferire il software con l’intento di condividere le licenze su più dispositivi.</w:t>
      </w:r>
    </w:p>
    <w:p w14:paraId="0683C599" w14:textId="66E64381" w:rsidR="008917EE" w:rsidRPr="002E7153"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nell’interfaccia utente oppure il licenziatario può decidere di non utilizzarle. Accettando il presente contratto e utilizzando il software, il licenziatario accetta che Microsoft possa raccogliere, trattare e divulgare i dati come descritto nell’Informativa sulla Privacy di</w:t>
      </w:r>
      <w:r w:rsidR="00D12B87">
        <w:rPr>
          <w:bCs/>
          <w:sz w:val="20"/>
          <w:szCs w:val="20"/>
        </w:rPr>
        <w:t> </w:t>
      </w:r>
      <w:r>
        <w:rPr>
          <w:bCs/>
          <w:sz w:val="20"/>
          <w:szCs w:val="20"/>
        </w:rPr>
        <w:t xml:space="preserve">Microsoft disponibile all’indirizzo </w:t>
      </w:r>
      <w:r>
        <w:rPr>
          <w:sz w:val="20"/>
          <w:szCs w:val="20"/>
        </w:rPr>
        <w:t>(</w:t>
      </w:r>
      <w:hyperlink r:id="rId12" w:history="1">
        <w:r>
          <w:rPr>
            <w:rStyle w:val="Hyperlink"/>
            <w:sz w:val="20"/>
            <w:szCs w:val="20"/>
          </w:rPr>
          <w:t>aka.ms/privacy</w:t>
        </w:r>
      </w:hyperlink>
      <w:r>
        <w:rPr>
          <w:sz w:val="20"/>
          <w:szCs w:val="20"/>
        </w:rPr>
        <w:t>) e come eventualmente indicato nell’interfaccia utente associata alle funzionalità software</w:t>
      </w:r>
      <w:r>
        <w:rPr>
          <w:bCs/>
          <w:sz w:val="20"/>
          <w:szCs w:val="20"/>
        </w:rPr>
        <w:t>.</w:t>
      </w:r>
    </w:p>
    <w:p w14:paraId="4F1CB42F" w14:textId="05892993" w:rsidR="0039709A" w:rsidRPr="002E7153"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In base all’area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il software Microsoft alterato con software Microsoft originale. Qualora il licenziatario abbia attivato il software tramite Internet, è possibile che durante l’utilizzo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w:t>
      </w:r>
      <w:r w:rsidR="00D12B87">
        <w:rPr>
          <w:sz w:val="20"/>
          <w:szCs w:val="20"/>
        </w:rPr>
        <w:t> </w:t>
      </w:r>
      <w:r>
        <w:rPr>
          <w:sz w:val="20"/>
          <w:szCs w:val="20"/>
        </w:rPr>
        <w:t>Microsoft originale.</w:t>
      </w:r>
    </w:p>
    <w:p w14:paraId="18564684" w14:textId="4F39451C" w:rsidR="0039417B" w:rsidRPr="002E7153"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AGGIORNAMENTI. </w:t>
      </w:r>
      <w:r>
        <w:rPr>
          <w:bCs/>
          <w:sz w:val="20"/>
          <w:szCs w:val="20"/>
        </w:rPr>
        <w:t>Il software controlla periodicamente la presenza di aggiornamenti e li scarica e</w:t>
      </w:r>
      <w:r w:rsidR="00D12B87">
        <w:rPr>
          <w:bCs/>
          <w:sz w:val="20"/>
          <w:szCs w:val="20"/>
        </w:rPr>
        <w:t> </w:t>
      </w:r>
      <w:r>
        <w:rPr>
          <w:bCs/>
          <w:sz w:val="20"/>
          <w:szCs w:val="20"/>
        </w:rPr>
        <w:t xml:space="preserve">installa per conto del licenziatario. </w:t>
      </w:r>
      <w:r>
        <w:rPr>
          <w:sz w:val="20"/>
          <w:szCs w:val="20"/>
        </w:rPr>
        <w:t xml:space="preserve">Il licenziatario potrà ottenere gli aggiornamenti solo da Microsoft o da fonti autorizzate e </w:t>
      </w:r>
      <w:r>
        <w:rPr>
          <w:bCs/>
          <w:sz w:val="20"/>
          <w:szCs w:val="20"/>
        </w:rPr>
        <w:t>accettando il presente contratto, il licenziatario accetta di ricevere tali tipi di aggiornamenti automatici senza alcuna ulteriore comunicazione.</w:t>
      </w:r>
    </w:p>
    <w:p w14:paraId="7EBE76B0" w14:textId="71DA2C22" w:rsidR="00885545" w:rsidRPr="002E7153"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LIMITAZIONI GEOGRAFICHE E RELATIVE ALL’ESPORTAZIONE. </w:t>
      </w:r>
      <w:r>
        <w:rPr>
          <w:bCs/>
          <w:sz w:val="20"/>
          <w:szCs w:val="20"/>
        </w:rPr>
        <w:t>Qualora l’utilizzo del software sia limitato a una particolare area geografica, il licenziatario potrà attivare il software solo in quell’area. Il licenziatario dovrà anche conformarsi a tutte le leggi e a tutti i regolamenti nazionali e</w:t>
      </w:r>
      <w:r w:rsidR="00D12B87">
        <w:rPr>
          <w:bCs/>
          <w:sz w:val="20"/>
          <w:szCs w:val="20"/>
        </w:rPr>
        <w:t> </w:t>
      </w:r>
      <w:r>
        <w:rPr>
          <w:bCs/>
          <w:sz w:val="20"/>
          <w:szCs w:val="20"/>
        </w:rPr>
        <w:t>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Pr>
            <w:rStyle w:val="Hyperlink"/>
            <w:bCs/>
            <w:sz w:val="20"/>
            <w:szCs w:val="20"/>
          </w:rPr>
          <w:t>aka.ms/exporting</w:t>
        </w:r>
      </w:hyperlink>
      <w:r>
        <w:rPr>
          <w:bCs/>
          <w:sz w:val="20"/>
          <w:szCs w:val="20"/>
        </w:rPr>
        <w:t>).</w:t>
      </w:r>
    </w:p>
    <w:p w14:paraId="61F9CCBD" w14:textId="7A748166" w:rsidR="00D95244" w:rsidRPr="002E7153"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ARBITRATO VINCOLANTE E RINUNCIA ALL’AZIONE DI CLASSE. </w:t>
      </w:r>
      <w:r>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6B639973" w:rsidR="000936BD" w:rsidRPr="002E7153" w:rsidRDefault="00871D65" w:rsidP="009A7D95">
      <w:pPr>
        <w:spacing w:before="120" w:after="120"/>
        <w:ind w:left="360"/>
      </w:pPr>
      <w:r>
        <w:rPr>
          <w:sz w:val="20"/>
          <w:szCs w:val="20"/>
        </w:rPr>
        <w:t xml:space="preserve">Nell’eventualità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Pr>
          <w:b/>
          <w:sz w:val="20"/>
          <w:szCs w:val="20"/>
        </w:rPr>
        <w:t>arbitrato vincolante su base individuale davanti all’American Arbitration Association (“AAA”) ai sensi del Federal Arbitration Act (“FAA”) e di non iniziare procedimenti giudiziari</w:t>
      </w:r>
      <w:r>
        <w:rPr>
          <w:sz w:val="20"/>
          <w:szCs w:val="20"/>
        </w:rPr>
        <w:t xml:space="preserve">. Le controversie saranno invece risolte davanti a un arbitro neutrale, la cui decisione sarà definitiva, eccetto che per un limitato diritto di appello ai sensi del FAA. </w:t>
      </w:r>
      <w:r>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w:t>
      </w:r>
      <w:r w:rsidR="00D12B87">
        <w:rPr>
          <w:b/>
          <w:sz w:val="20"/>
          <w:szCs w:val="20"/>
        </w:rPr>
        <w:t> </w:t>
      </w:r>
      <w:r>
        <w:rPr>
          <w:b/>
          <w:sz w:val="20"/>
          <w:szCs w:val="20"/>
        </w:rPr>
        <w:t>consentito nemmeno riunire i singoli procedimenti senza il consenso di tutte le parti.</w:t>
      </w:r>
    </w:p>
    <w:p w14:paraId="47305204" w14:textId="28AA36C3" w:rsidR="00D95244" w:rsidRPr="002E7153"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dell’IP.</w:t>
      </w:r>
      <w:r>
        <w:rPr>
          <w:b/>
          <w:bCs/>
          <w:sz w:val="20"/>
          <w:szCs w:val="20"/>
        </w:rPr>
        <w:t xml:space="preserve"> </w:t>
      </w:r>
      <w:r>
        <w:rPr>
          <w:bCs/>
          <w:sz w:val="20"/>
          <w:szCs w:val="20"/>
        </w:rPr>
        <w:t>Il</w:t>
      </w:r>
      <w:r>
        <w:rPr>
          <w:sz w:val="20"/>
          <w:szCs w:val="20"/>
        </w:rPr>
        <w:t xml:space="preserve"> termine “controversia” va inteso nella</w:t>
      </w:r>
      <w:r w:rsidR="00D12B87">
        <w:rPr>
          <w:sz w:val="20"/>
          <w:szCs w:val="20"/>
        </w:rPr>
        <w:t> </w:t>
      </w:r>
      <w:r>
        <w:rPr>
          <w:sz w:val="20"/>
          <w:szCs w:val="20"/>
        </w:rPr>
        <w:t>sua massima accezione possibile. Include qualsiasi reclamo o vertenza tra il licenziatario e</w:t>
      </w:r>
      <w:r w:rsidR="00D12B87">
        <w:rPr>
          <w:sz w:val="20"/>
          <w:szCs w:val="20"/>
        </w:rPr>
        <w:t> </w:t>
      </w:r>
      <w:r>
        <w:rPr>
          <w:sz w:val="20"/>
          <w:szCs w:val="20"/>
        </w:rPr>
        <w:t>il</w:t>
      </w:r>
      <w:r w:rsidR="00D12B87">
        <w:rPr>
          <w:sz w:val="20"/>
          <w:szCs w:val="20"/>
        </w:rPr>
        <w:t> </w:t>
      </w:r>
      <w:r>
        <w:rPr>
          <w:bCs/>
          <w:sz w:val="20"/>
          <w:szCs w:val="20"/>
        </w:rPr>
        <w:t>licenziante</w:t>
      </w:r>
      <w:r>
        <w:rPr>
          <w:sz w:val="20"/>
          <w:szCs w:val="20"/>
        </w:rPr>
        <w:t xml:space="preserve"> oppure tra il licenziatario e Microsoft, in merito al software, nonché al prezzo, alla</w:t>
      </w:r>
      <w:r w:rsidR="00D12B87">
        <w:rPr>
          <w:sz w:val="20"/>
          <w:szCs w:val="20"/>
        </w:rPr>
        <w:t> </w:t>
      </w:r>
      <w:r>
        <w:rPr>
          <w:sz w:val="20"/>
          <w:szCs w:val="20"/>
        </w:rPr>
        <w:t>pubblicità, al marketing, alle comunicazioni, alla transazione per l’acquisto, alla fatturazione relativi a tale software, o al presente contratto, ai sensi di qualsiasi fondamento giuridico, sia</w:t>
      </w:r>
      <w:r w:rsidR="00D12B87">
        <w:rPr>
          <w:sz w:val="20"/>
          <w:szCs w:val="20"/>
        </w:rPr>
        <w:t> </w:t>
      </w:r>
      <w:r>
        <w:rPr>
          <w:sz w:val="20"/>
          <w:szCs w:val="20"/>
        </w:rPr>
        <w:t>esso derivante dall’adempimento del contratto, della garanzia, da illecito civile, statuto o</w:t>
      </w:r>
      <w:r w:rsidR="00D12B87">
        <w:rPr>
          <w:sz w:val="20"/>
          <w:szCs w:val="20"/>
        </w:rPr>
        <w:t> </w:t>
      </w:r>
      <w:r>
        <w:rPr>
          <w:sz w:val="20"/>
          <w:szCs w:val="20"/>
        </w:rPr>
        <w:t xml:space="preserve">normativa, </w:t>
      </w:r>
      <w:r>
        <w:rPr>
          <w:b/>
          <w:sz w:val="20"/>
          <w:szCs w:val="20"/>
        </w:rPr>
        <w:t>ad eccezione delle controversie riguardanti l’applicazione o la validità dei</w:t>
      </w:r>
      <w:r w:rsidR="00D12B87">
        <w:rPr>
          <w:b/>
          <w:sz w:val="20"/>
          <w:szCs w:val="20"/>
        </w:rPr>
        <w:t> </w:t>
      </w:r>
      <w:r>
        <w:rPr>
          <w:b/>
          <w:sz w:val="20"/>
          <w:szCs w:val="20"/>
        </w:rPr>
        <w:t>diritti di proprietà intellettuale del licenziatario, dei licenzianti del licenziatario, di</w:t>
      </w:r>
      <w:r w:rsidR="00D12B87">
        <w:rPr>
          <w:b/>
          <w:sz w:val="20"/>
          <w:szCs w:val="20"/>
        </w:rPr>
        <w:t> </w:t>
      </w:r>
      <w:r>
        <w:rPr>
          <w:b/>
          <w:sz w:val="20"/>
          <w:szCs w:val="20"/>
        </w:rPr>
        <w:t>Microsoft o dei licenzianti di Microsoft.</w:t>
      </w:r>
    </w:p>
    <w:p w14:paraId="23C737C0" w14:textId="4A8B948E" w:rsidR="00D95244" w:rsidRPr="002E7153"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all’attenzione dell’UFFICIO LEGALE. Trascorsi 60 giorni, in caso di mancata risoluzione della controversia, il licenziatario o Microsoft potrà avviare un arbitrato.</w:t>
      </w:r>
    </w:p>
    <w:p w14:paraId="2CB2817D" w14:textId="17844D12"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w:t>
      </w:r>
      <w:r w:rsidR="00D12B87">
        <w:rPr>
          <w:sz w:val="20"/>
          <w:szCs w:val="20"/>
        </w:rPr>
        <w:t> </w:t>
      </w:r>
      <w:r>
        <w:rPr>
          <w:sz w:val="20"/>
          <w:szCs w:val="20"/>
        </w:rPr>
        <w:t>attività.</w:t>
      </w:r>
    </w:p>
    <w:p w14:paraId="35CDB44C" w14:textId="67500D0F" w:rsidR="000936BD" w:rsidRPr="002E7153"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L’AAA condurrà qualsiasi arbitrato in conformità alle proprie Regole di</w:t>
      </w:r>
      <w:r w:rsidR="00D12B87">
        <w:rPr>
          <w:sz w:val="20"/>
          <w:szCs w:val="20"/>
        </w:rPr>
        <w:t> </w:t>
      </w:r>
      <w:r>
        <w:rPr>
          <w:sz w:val="20"/>
          <w:szCs w:val="20"/>
        </w:rPr>
        <w:t>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w:t>
      </w:r>
      <w:r w:rsidR="00D12B87">
        <w:rPr>
          <w:sz w:val="20"/>
          <w:szCs w:val="20"/>
        </w:rPr>
        <w:t> </w:t>
      </w:r>
      <w:r>
        <w:rPr>
          <w:sz w:val="20"/>
          <w:szCs w:val="20"/>
        </w:rPr>
        <w:t>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all’AAA il modulo disponibile all’indirizzo (</w:t>
      </w:r>
      <w:hyperlink r:id="rId15" w:history="1">
        <w:r>
          <w:rPr>
            <w:rStyle w:val="Hyperlink"/>
            <w:sz w:val="20"/>
            <w:szCs w:val="20"/>
          </w:rPr>
          <w:t>aka.ms/arbitration</w:t>
        </w:r>
      </w:hyperlink>
      <w:r>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w:t>
      </w:r>
      <w:r w:rsidR="00D12B87">
        <w:rPr>
          <w:sz w:val="20"/>
          <w:szCs w:val="20"/>
        </w:rPr>
        <w:t> </w:t>
      </w:r>
      <w:r>
        <w:rPr>
          <w:sz w:val="20"/>
          <w:szCs w:val="20"/>
        </w:rPr>
        <w:t>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singolo licenziatario per soddisfare il suo reclamo personale. Ai sensi delle Regole AAA, l’arbitro disciplina la propria giurisdizione, inclusa l’arbitrabilità di qualsiasi reclamo. Tuttavia, un tribunale ha l’autorità esclusiva di richiedere l’applicazione del divieto sull’arbitrato a livello di classe o in veste rappresentativa di altri.</w:t>
      </w:r>
    </w:p>
    <w:p w14:paraId="143D705D" w14:textId="2CD72FEE"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l’arbitrato</w:t>
      </w:r>
      <w:r>
        <w:rPr>
          <w:b/>
          <w:bCs/>
          <w:sz w:val="20"/>
          <w:szCs w:val="20"/>
        </w:rPr>
        <w:t>.</w:t>
      </w:r>
    </w:p>
    <w:p w14:paraId="140C6925" w14:textId="183E8CBD" w:rsidR="00D95244" w:rsidRPr="002E7153"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Pr>
          <w:sz w:val="20"/>
          <w:szCs w:val="20"/>
        </w:rPr>
        <w:t xml:space="preserve"> il licenziante rimborserà tempestivamente le spese di notificazione del licenziatario, nonché le spese e i corrispettivi dell’AAA e dell’arbitro. Nel caso in cui il licenziatario rifiuti l’ultima offerta scritta di accordo transattivo del licenziante presentata prima che l’arbitro fosse nominato, la controversia venga sottoposta direttamente alla decisione di un arbitro (“sentenza”) e l’arbitro liquidi un importo superiore a quest’ultima offerta scritta, il licenziante: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w:t>
      </w:r>
      <w:r w:rsidR="00D12B87">
        <w:rPr>
          <w:sz w:val="20"/>
          <w:szCs w:val="20"/>
        </w:rPr>
        <w:t> </w:t>
      </w:r>
      <w:r>
        <w:rPr>
          <w:sz w:val="20"/>
          <w:szCs w:val="20"/>
        </w:rPr>
        <w:t>reclamo in arbitrato.</w:t>
      </w:r>
    </w:p>
    <w:p w14:paraId="7B673049" w14:textId="462A2D39" w:rsidR="00603454" w:rsidRPr="002E7153"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dell’AAA e dell’arbitro.</w:t>
      </w:r>
    </w:p>
    <w:p w14:paraId="62BBAF1D" w14:textId="3B38402C" w:rsidR="00D95244" w:rsidRPr="002E7153"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all’arbitrato (ad</w:t>
      </w:r>
      <w:r w:rsidR="00D12B87">
        <w:rPr>
          <w:sz w:val="20"/>
          <w:szCs w:val="20"/>
        </w:rPr>
        <w:t> </w:t>
      </w:r>
      <w:r>
        <w:rPr>
          <w:sz w:val="20"/>
          <w:szCs w:val="20"/>
        </w:rPr>
        <w:t>eccezione delle controversie in materia di proprietà intellettuale illustrate all’Articolo 8.a) entro un anno dalla data in cui potrà avere luogo la prima presentazione. Diversamente, non potrà più essere presentata.</w:t>
      </w:r>
    </w:p>
    <w:p w14:paraId="5539E525" w14:textId="178FBE4E"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Pr>
          <w:sz w:val="20"/>
          <w:szCs w:val="20"/>
        </w:rPr>
        <w:t>. Qualora una parte dell’Articolo 8 (Arbitrato Vincolante e Rinuncia all’Azione di Classe) sia ritenuto illegale o non attuabile, la parte restante rimarrà in vigore (con un lodo arbitrale emesso prima che venga avviato un processo legale). Nel</w:t>
      </w:r>
      <w:r w:rsidR="00D12B87">
        <w:rPr>
          <w:sz w:val="20"/>
          <w:szCs w:val="20"/>
        </w:rPr>
        <w:t> </w:t>
      </w:r>
      <w:r>
        <w:rPr>
          <w:sz w:val="20"/>
          <w:szCs w:val="20"/>
        </w:rPr>
        <w:t>caso in cui un verdetto di parziale illegalità o inapplicabilità consentisse un arbitrato a livello di classe o in veste rappresentativa, l’Articolo 8 non sarà attuabile nella sua interezza.</w:t>
      </w:r>
    </w:p>
    <w:p w14:paraId="5557D8E3" w14:textId="21C67253" w:rsidR="004F6A1F" w:rsidRPr="002E7153" w:rsidRDefault="004F6A1F" w:rsidP="009A7D95">
      <w:pPr>
        <w:pStyle w:val="ListParagraph"/>
        <w:numPr>
          <w:ilvl w:val="1"/>
          <w:numId w:val="12"/>
        </w:numPr>
        <w:tabs>
          <w:tab w:val="left" w:pos="720"/>
        </w:tabs>
        <w:spacing w:before="120" w:after="120"/>
        <w:ind w:left="720"/>
        <w:contextualSpacing w:val="0"/>
      </w:pPr>
      <w:r>
        <w:rPr>
          <w:b/>
          <w:sz w:val="20"/>
          <w:szCs w:val="20"/>
        </w:rPr>
        <w:t>Discrepanza con le regole AAA.</w:t>
      </w:r>
      <w:r>
        <w:rPr>
          <w:sz w:val="20"/>
          <w:szCs w:val="20"/>
        </w:rPr>
        <w:t xml:space="preserve"> Il presente contratto ha prevalenza nell’eventualità di una discrepanza con le Regole di Arbitrato Commerciale o le Regole di Arbitrato per i Consumatori dell’AAA.</w:t>
      </w:r>
    </w:p>
    <w:p w14:paraId="29188EB7" w14:textId="27CF9A38"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484B4005" w:rsidR="00FF0E3F" w:rsidRPr="002E7153"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w:t>
      </w:r>
      <w:r w:rsidR="00D12B87">
        <w:rPr>
          <w:bCs/>
          <w:sz w:val="20"/>
          <w:szCs w:val="20"/>
        </w:rPr>
        <w:t> </w:t>
      </w:r>
      <w:r>
        <w:rPr>
          <w:bCs/>
          <w:sz w:val="20"/>
          <w:szCs w:val="20"/>
        </w:rPr>
        <w:t>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w:t>
      </w:r>
      <w:r w:rsidR="00D12B87">
        <w:rPr>
          <w:bCs/>
          <w:sz w:val="20"/>
          <w:szCs w:val="20"/>
        </w:rPr>
        <w:t> </w:t>
      </w:r>
      <w:r>
        <w:rPr>
          <w:bCs/>
          <w:sz w:val="20"/>
          <w:szCs w:val="20"/>
        </w:rPr>
        <w:t>una società, del luogo principale in cui la società svolge la propria attività), fatta eccezione per tutte le disposizioni relative all’arbitrato che saranno disciplinate dal FAA.</w:t>
      </w:r>
    </w:p>
    <w:p w14:paraId="5438C7D3" w14:textId="0A95CFD1" w:rsidR="005C052D" w:rsidRPr="002E7153"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2E7153"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7D04F8F2" w:rsidR="00182EA5" w:rsidRPr="002E7153"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dell’acquisto il licenziatario dovrà essere uno studente, un docente o un membro del personale di un istituto didattico.</w:t>
      </w:r>
    </w:p>
    <w:p w14:paraId="2DF2D620" w14:textId="5F6DD518" w:rsidR="006872C3" w:rsidRPr="002E7153"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E7153"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ai regolamenti federali statunitensi applicabili.</w:t>
      </w:r>
    </w:p>
    <w:p w14:paraId="2413083E" w14:textId="5C4B2A14" w:rsidR="00D02BB0" w:rsidRPr="002E7153"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l’etichetta “Canadian Forces”. I Membri Autorizzati CANEX sono:</w:t>
      </w:r>
    </w:p>
    <w:p w14:paraId="5AFB05A4" w14:textId="6762D5F1" w:rsidR="00D974F1" w:rsidRPr="002E7153"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2E7153"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2E7153"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2E7153"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2E7153"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2E7153"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6684021B" w:rsidR="00D974F1" w:rsidRPr="002E7153" w:rsidRDefault="00D974F1" w:rsidP="009A7D95">
      <w:pPr>
        <w:numPr>
          <w:ilvl w:val="0"/>
          <w:numId w:val="2"/>
        </w:numPr>
        <w:spacing w:before="120" w:after="120"/>
      </w:pPr>
      <w:r>
        <w:rPr>
          <w:rFonts w:eastAsia="MS Mincho"/>
          <w:sz w:val="20"/>
          <w:szCs w:val="20"/>
        </w:rPr>
        <w:t>la Regia Polizia a cavallo canadese in servizio e in pensione (Royal Canadian Mounted Police o</w:t>
      </w:r>
      <w:r w:rsidR="00D12B87">
        <w:rPr>
          <w:rFonts w:eastAsia="MS Mincho"/>
          <w:sz w:val="20"/>
          <w:szCs w:val="20"/>
        </w:rPr>
        <w:t> </w:t>
      </w:r>
      <w:r>
        <w:rPr>
          <w:rFonts w:eastAsia="MS Mincho"/>
          <w:sz w:val="20"/>
          <w:szCs w:val="20"/>
        </w:rPr>
        <w:t>RCMP) e le loro famiglie;</w:t>
      </w:r>
    </w:p>
    <w:p w14:paraId="7B6B24F5" w14:textId="3DDB61B6" w:rsidR="00D974F1" w:rsidRPr="00D12B87" w:rsidRDefault="00D974F1" w:rsidP="009A7D95">
      <w:pPr>
        <w:numPr>
          <w:ilvl w:val="0"/>
          <w:numId w:val="2"/>
        </w:numPr>
        <w:spacing w:before="120" w:after="120"/>
        <w:rPr>
          <w:spacing w:val="-1"/>
        </w:rPr>
      </w:pPr>
      <w:r w:rsidRPr="00D12B87">
        <w:rPr>
          <w:rFonts w:eastAsia="MS Mincho"/>
          <w:spacing w:val="-1"/>
          <w:sz w:val="20"/>
          <w:szCs w:val="20"/>
        </w:rPr>
        <w:t>il personale attuale del Defence Research and Development Canada (DRDC) e le loro famiglie;</w:t>
      </w:r>
    </w:p>
    <w:p w14:paraId="5875C91B" w14:textId="5609BFDA" w:rsidR="00D974F1" w:rsidRPr="002E7153"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2E7153"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1DFAF557" w:rsidR="00D974F1" w:rsidRPr="002E7153" w:rsidRDefault="00D974F1" w:rsidP="009A7D95">
      <w:pPr>
        <w:numPr>
          <w:ilvl w:val="0"/>
          <w:numId w:val="2"/>
        </w:numPr>
        <w:spacing w:before="120" w:after="120"/>
      </w:pPr>
      <w:r>
        <w:rPr>
          <w:rFonts w:eastAsia="MS Mincho"/>
          <w:sz w:val="20"/>
          <w:szCs w:val="20"/>
        </w:rPr>
        <w:t>familiari del personale dell’NPF, CF o</w:t>
      </w:r>
    </w:p>
    <w:p w14:paraId="53CCD432" w14:textId="42CF6170" w:rsidR="0089137A" w:rsidRPr="002E7153" w:rsidRDefault="00D974F1" w:rsidP="009A7D95">
      <w:pPr>
        <w:numPr>
          <w:ilvl w:val="0"/>
          <w:numId w:val="2"/>
        </w:numPr>
        <w:spacing w:before="120" w:after="120"/>
      </w:pPr>
      <w:r>
        <w:rPr>
          <w:rFonts w:eastAsia="MS Mincho"/>
          <w:sz w:val="20"/>
          <w:szCs w:val="20"/>
        </w:rPr>
        <w:t>i familiari del personale dell’MFRC.</w:t>
      </w:r>
    </w:p>
    <w:p w14:paraId="664633F0" w14:textId="5AFC81DF" w:rsidR="001869A1" w:rsidRPr="002E7153"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240F37F5" w:rsidR="00AE3DD3"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nell’Australian Consumer Law. Nessuna disposizione del presente contratto limita o cambia tali diritti e rimedi.</w:t>
      </w:r>
    </w:p>
    <w:p w14:paraId="2E436D9B" w14:textId="1DF5CCE3" w:rsidR="001869A1" w:rsidRPr="002E7153" w:rsidRDefault="00AE3DD3" w:rsidP="009A7D95">
      <w:pPr>
        <w:tabs>
          <w:tab w:val="left" w:pos="720"/>
        </w:tabs>
        <w:spacing w:before="120" w:after="120"/>
        <w:ind w:left="720"/>
      </w:pPr>
      <w:r>
        <w:rPr>
          <w:bCs/>
          <w:sz w:val="20"/>
          <w:szCs w:val="20"/>
        </w:rPr>
        <w:t>Per ulteriori informazioni sui propri diritti ai sensi dell’Australian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2E7153"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28A1C23C"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l’accesso a</w:t>
      </w:r>
      <w:r w:rsidR="00D12B87">
        <w:rPr>
          <w:bCs/>
          <w:sz w:val="20"/>
          <w:szCs w:val="20"/>
        </w:rPr>
        <w:t> </w:t>
      </w:r>
      <w:r>
        <w:rPr>
          <w:bCs/>
          <w:sz w:val="20"/>
          <w:szCs w:val="20"/>
        </w:rPr>
        <w:t>Internet. Nell’eventualità e quando il licenziatario si riconnetterà a Internet, il software riprenderà a controllare se sono presenti aggiornamenti e a installarli.</w:t>
      </w:r>
    </w:p>
    <w:p w14:paraId="71E2A635" w14:textId="1F95AC11"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 xml:space="preserve">La limitazione relativa all’utilizzo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 xml:space="preserve">licenziatario. I diritti sull’utilizzo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33B0AAEB" w:rsidR="001869A1" w:rsidRPr="002E7153"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w:t>
      </w:r>
      <w:r w:rsidR="00D12B87">
        <w:rPr>
          <w:sz w:val="20"/>
          <w:szCs w:val="20"/>
        </w:rPr>
        <w:t> </w:t>
      </w:r>
      <w:r>
        <w:rPr>
          <w:sz w:val="20"/>
          <w:szCs w:val="20"/>
        </w:rPr>
        <w:t>quanto descritto nel materiale Microsoft fornito con il software. Tuttavia, dal licenziante e</w:t>
      </w:r>
      <w:r w:rsidR="00D12B87">
        <w:rPr>
          <w:sz w:val="20"/>
          <w:szCs w:val="20"/>
        </w:rPr>
        <w:t> </w:t>
      </w:r>
      <w:r>
        <w:rPr>
          <w:sz w:val="20"/>
          <w:szCs w:val="20"/>
        </w:rPr>
        <w:t>da Microsoft non viene fornita alcuna garanzia contrattuale in relazione al software concesso in licenza.</w:t>
      </w:r>
    </w:p>
    <w:p w14:paraId="3233CD9E" w14:textId="75E14074" w:rsidR="001869A1" w:rsidRPr="00D12B87" w:rsidRDefault="001869A1" w:rsidP="009A7D95">
      <w:pPr>
        <w:pStyle w:val="ListParagraph"/>
        <w:numPr>
          <w:ilvl w:val="2"/>
          <w:numId w:val="12"/>
        </w:numPr>
        <w:tabs>
          <w:tab w:val="left" w:pos="1080"/>
        </w:tabs>
        <w:spacing w:before="120" w:after="120"/>
        <w:ind w:left="1080" w:hanging="360"/>
        <w:contextualSpacing w:val="0"/>
        <w:rPr>
          <w:spacing w:val="-1"/>
        </w:rPr>
      </w:pPr>
      <w:r w:rsidRPr="00D12B87">
        <w:rPr>
          <w:b/>
          <w:spacing w:val="-1"/>
          <w:sz w:val="20"/>
          <w:szCs w:val="20"/>
        </w:rPr>
        <w:t>Limitazione di Responsabilità</w:t>
      </w:r>
      <w:r w:rsidRPr="00D12B87">
        <w:rPr>
          <w:spacing w:val="-1"/>
          <w:sz w:val="20"/>
          <w:szCs w:val="20"/>
        </w:rPr>
        <w:t>. In caso di comportamento intenzionale, colpa grave, reclami basati sulla Legge in materia di Responsabilità Prodotto, così come in caso di morte o</w:t>
      </w:r>
      <w:r w:rsidR="00D12B87">
        <w:rPr>
          <w:spacing w:val="-1"/>
          <w:sz w:val="20"/>
          <w:szCs w:val="20"/>
        </w:rPr>
        <w:t> </w:t>
      </w:r>
      <w:r w:rsidRPr="00D12B87">
        <w:rPr>
          <w:spacing w:val="-1"/>
          <w:sz w:val="20"/>
          <w:szCs w:val="20"/>
        </w:rPr>
        <w:t>lesioni personali, il licenziante o Microsoft è responsabile in conformità alla legge imperativa.</w:t>
      </w:r>
    </w:p>
    <w:p w14:paraId="4151E26A" w14:textId="3AD93642" w:rsidR="00623937" w:rsidRPr="002E7153"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0E6F6250" w:rsidR="00F001F3" w:rsidRPr="002E7153"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all’utilizzo non commerciale stabilite all’Articolo 12 non si applicano all’uso del software da</w:t>
      </w:r>
      <w:r w:rsidR="00D12B87">
        <w:rPr>
          <w:bCs/>
          <w:sz w:val="20"/>
          <w:szCs w:val="20"/>
        </w:rPr>
        <w:t> </w:t>
      </w:r>
      <w:r>
        <w:rPr>
          <w:bCs/>
          <w:sz w:val="20"/>
          <w:szCs w:val="20"/>
        </w:rPr>
        <w:t>parte del licenziatario qualora quest’ultimo risieda in Giappone o abbia acquistato il software mentre risiedeva in Giappone.</w:t>
      </w:r>
    </w:p>
    <w:p w14:paraId="7159BCCE" w14:textId="4CA57AB1" w:rsidR="000D4C0D" w:rsidRPr="002E7153"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w:t>
      </w:r>
      <w:r w:rsidR="00D12B87">
        <w:rPr>
          <w:bCs/>
          <w:sz w:val="20"/>
          <w:szCs w:val="20"/>
        </w:rPr>
        <w:t> </w:t>
      </w:r>
      <w:r>
        <w:rPr>
          <w:bCs/>
          <w:sz w:val="20"/>
          <w:szCs w:val="20"/>
        </w:rPr>
        <w:t>software recante l’etichetta “Edizione Home Use Program”. Per essere un “Utente Home Use Program”, il licenziatario dovrà essere sia:</w:t>
      </w:r>
    </w:p>
    <w:p w14:paraId="1AAD2F03" w14:textId="57655A90" w:rsidR="000D4C0D" w:rsidRPr="002E7153"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un’organizzazione che ha stipulato un Contratto Multilicenza Microsoft con copertura Software Assurance attiva o che in precedenza disponeva della copertura Software Assurance attiva e che soddisfa determinati altri criteri e</w:t>
      </w:r>
    </w:p>
    <w:p w14:paraId="776E751E" w14:textId="3F73C550" w:rsidR="00E347AD" w:rsidRPr="002E7153" w:rsidRDefault="000D4C0D" w:rsidP="009A7D95">
      <w:pPr>
        <w:pStyle w:val="ListParagraph"/>
        <w:numPr>
          <w:ilvl w:val="1"/>
          <w:numId w:val="12"/>
        </w:numPr>
        <w:tabs>
          <w:tab w:val="left" w:pos="720"/>
        </w:tabs>
        <w:spacing w:before="120" w:after="120"/>
        <w:ind w:left="720"/>
        <w:contextualSpacing w:val="0"/>
      </w:pPr>
      <w:r>
        <w:rPr>
          <w:bCs/>
          <w:sz w:val="20"/>
          <w:szCs w:val="20"/>
        </w:rPr>
        <w:t>l’utente di una copia del software o di un prodotto che includa il software concesso in licenza al proprio datore di lavoro ai sensi di un Contratto Multilicenza.</w:t>
      </w:r>
    </w:p>
    <w:p w14:paraId="078E6BD3" w14:textId="52F30673" w:rsidR="009729BB" w:rsidRPr="002E7153"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2E7153"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7D21AE9D" w:rsidR="00041C62" w:rsidRPr="002E7153"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w:t>
      </w:r>
      <w:r w:rsidR="00D12B87">
        <w:rPr>
          <w:bCs/>
          <w:sz w:val="20"/>
          <w:szCs w:val="20"/>
        </w:rPr>
        <w:t> </w:t>
      </w:r>
      <w:r>
        <w:rPr>
          <w:bCs/>
          <w:sz w:val="20"/>
          <w:szCs w:val="20"/>
        </w:rPr>
        <w:t>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w:t>
      </w:r>
      <w:r w:rsidR="00D12B87">
        <w:rPr>
          <w:bCs/>
          <w:sz w:val="20"/>
          <w:szCs w:val="20"/>
        </w:rPr>
        <w:t> </w:t>
      </w:r>
      <w:r>
        <w:rPr>
          <w:bCs/>
          <w:sz w:val="20"/>
          <w:szCs w:val="20"/>
        </w:rPr>
        <w:t>Commenti del licenziatario.</w:t>
      </w:r>
    </w:p>
    <w:p w14:paraId="5A57DB31" w14:textId="535A9835" w:rsidR="00885545" w:rsidRPr="002E7153" w:rsidRDefault="00885545" w:rsidP="009A7D95">
      <w:pPr>
        <w:pStyle w:val="ListParagraph"/>
        <w:numPr>
          <w:ilvl w:val="0"/>
          <w:numId w:val="12"/>
        </w:numPr>
        <w:tabs>
          <w:tab w:val="left" w:pos="360"/>
        </w:tabs>
        <w:spacing w:before="120" w:after="120"/>
        <w:ind w:left="360"/>
        <w:contextualSpacing w:val="0"/>
      </w:pPr>
      <w:r>
        <w:rPr>
          <w:b/>
          <w:bCs/>
          <w:sz w:val="20"/>
          <w:szCs w:val="20"/>
        </w:rPr>
        <w:t>INTERO ACCORDO.</w:t>
      </w:r>
      <w:r>
        <w:rPr>
          <w:bCs/>
          <w:sz w:val="20"/>
          <w:szCs w:val="20"/>
        </w:rPr>
        <w:t xml:space="preserve"> Il presente contratto, unitamente alle condizioni di licenza stampate o ad altre condizioni per i supplementi, gli aggiornamenti e i servizi relativi al software forniti dal licenziante o</w:t>
      </w:r>
      <w:r w:rsidR="00D12B87">
        <w:rPr>
          <w:bCs/>
          <w:sz w:val="20"/>
          <w:szCs w:val="20"/>
        </w:rPr>
        <w:t> </w:t>
      </w:r>
      <w:r>
        <w:rPr>
          <w:bCs/>
          <w:sz w:val="20"/>
          <w:szCs w:val="20"/>
        </w:rPr>
        <w:t>da Microsoft e utilizzati dal licenziatario, e le condizioni accessibili tramite i collegamenti Web contenuti nel presente contratto costituiscono l’intero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w:t>
      </w:r>
      <w:r w:rsidR="00D12B87">
        <w:rPr>
          <w:bCs/>
          <w:sz w:val="20"/>
          <w:szCs w:val="20"/>
        </w:rPr>
        <w:t> </w:t>
      </w:r>
      <w:r>
        <w:rPr>
          <w:bCs/>
          <w:sz w:val="20"/>
          <w:szCs w:val="20"/>
        </w:rPr>
        <w:t>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2E7153"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2E7153"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32F41B2F"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NESSUNA TOLLERANZA D’ERRORE. IL SOFTWARE NON È A TOLLERANZA D’ERRORE. IL</w:t>
      </w:r>
      <w:r w:rsidR="00D12B87">
        <w:rPr>
          <w:b/>
          <w:sz w:val="20"/>
          <w:szCs w:val="20"/>
        </w:rPr>
        <w:t> </w:t>
      </w:r>
      <w:r>
        <w:rPr>
          <w:b/>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0E69F4CE" w14:textId="6754AA4A"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77BC75F"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12B87">
        <w:rPr>
          <w:b/>
          <w:sz w:val="20"/>
          <w:szCs w:val="20"/>
        </w:rPr>
        <w:t> </w:t>
      </w:r>
      <w:r>
        <w:rPr>
          <w:b/>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6133EA">
        <w:rPr>
          <w:b/>
          <w:sz w:val="20"/>
          <w:szCs w:val="20"/>
        </w:rPr>
        <w:t> </w:t>
      </w:r>
      <w:r>
        <w:rPr>
          <w:b/>
          <w:sz w:val="20"/>
          <w:szCs w:val="20"/>
        </w:rPr>
        <w:t>NESSUN CASO MICROSOFT SARÀ RESPONSABILE PER IMPORTI SUPERIORI A</w:t>
      </w:r>
      <w:r w:rsidR="00D12B87">
        <w:rPr>
          <w:b/>
          <w:sz w:val="20"/>
          <w:szCs w:val="20"/>
        </w:rPr>
        <w:t> </w:t>
      </w:r>
      <w:r>
        <w:rPr>
          <w:b/>
          <w:sz w:val="20"/>
          <w:szCs w:val="20"/>
        </w:rPr>
        <w:t>DUECENTOCINQUANTA DOLLARI DEGLI STATI UNITI (USD 250,00).</w:t>
      </w:r>
    </w:p>
    <w:p w14:paraId="133479B2" w14:textId="1116BDE4" w:rsidR="0039417B" w:rsidRPr="002E7153" w:rsidRDefault="003E7E64" w:rsidP="009A7D95">
      <w:pPr>
        <w:spacing w:before="120" w:after="120"/>
      </w:pPr>
      <w:r>
        <w:rPr>
          <w:bCs/>
          <w:sz w:val="20"/>
          <w:szCs w:val="20"/>
        </w:rPr>
        <w:t>Microsoft e Visio sono marchi registrati di Microsoft Corporation negli Stati Uniti e/o negli altri paesi.</w:t>
      </w:r>
    </w:p>
    <w:sectPr w:rsidR="0039417B" w:rsidRPr="002E7153"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6192C" w14:textId="77777777" w:rsidR="004D018C" w:rsidRDefault="004D018C" w:rsidP="00FD75BC">
      <w:r>
        <w:separator/>
      </w:r>
    </w:p>
  </w:endnote>
  <w:endnote w:type="continuationSeparator" w:id="0">
    <w:p w14:paraId="71B43A42" w14:textId="77777777" w:rsidR="004D018C" w:rsidRDefault="004D018C" w:rsidP="00FD75BC">
      <w:r>
        <w:continuationSeparator/>
      </w:r>
    </w:p>
  </w:endnote>
  <w:endnote w:type="continuationNotice" w:id="1">
    <w:p w14:paraId="6EEA09FF" w14:textId="77777777" w:rsidR="004D018C" w:rsidRDefault="004D0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12B87" w:rsidRPr="00D12B87" w14:paraId="13654D9F" w14:textId="77777777" w:rsidTr="00AC70F0">
      <w:tc>
        <w:tcPr>
          <w:tcW w:w="5328" w:type="dxa"/>
        </w:tcPr>
        <w:p w14:paraId="50CBBAC8" w14:textId="77777777" w:rsidR="00D93C4E" w:rsidRPr="00D12B87" w:rsidRDefault="00D93C4E" w:rsidP="00D93C4E">
          <w:pPr>
            <w:tabs>
              <w:tab w:val="center" w:pos="4680"/>
              <w:tab w:val="right" w:pos="9360"/>
            </w:tabs>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ISV Royalty End-User License Agreement</w:t>
          </w:r>
        </w:p>
        <w:p w14:paraId="32C97D26" w14:textId="3A558F6F" w:rsidR="00D93C4E" w:rsidRPr="00D12B87" w:rsidRDefault="001B3B67" w:rsidP="00D93C4E">
          <w:pPr>
            <w:tabs>
              <w:tab w:val="center" w:pos="4680"/>
              <w:tab w:val="right" w:pos="9360"/>
            </w:tabs>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Visio Standard (October 1, 202</w:t>
          </w:r>
          <w:r w:rsidR="007A2176">
            <w:rPr>
              <w:rStyle w:val="LogoportDoNotTranslate"/>
              <w:rFonts w:ascii="Tahoma" w:hAnsi="Tahoma" w:cs="Tahoma"/>
              <w:color w:val="000000" w:themeColor="text1"/>
              <w:sz w:val="16"/>
              <w:szCs w:val="16"/>
            </w:rPr>
            <w:t>4</w:t>
          </w:r>
          <w:r w:rsidRPr="00D12B87">
            <w:rPr>
              <w:rStyle w:val="LogoportDoNotTranslate"/>
              <w:rFonts w:ascii="Tahoma" w:hAnsi="Tahoma" w:cs="Tahoma"/>
              <w:color w:val="000000" w:themeColor="text1"/>
              <w:sz w:val="16"/>
              <w:szCs w:val="16"/>
            </w:rPr>
            <w:t>)</w:t>
          </w:r>
        </w:p>
      </w:tc>
      <w:tc>
        <w:tcPr>
          <w:tcW w:w="5220" w:type="dxa"/>
        </w:tcPr>
        <w:p w14:paraId="76D2E342" w14:textId="77777777" w:rsidR="00D93C4E" w:rsidRPr="00D12B87" w:rsidRDefault="00D93C4E" w:rsidP="00D93C4E">
          <w:pPr>
            <w:tabs>
              <w:tab w:val="center" w:pos="4680"/>
              <w:tab w:val="right" w:pos="9360"/>
            </w:tabs>
            <w:jc w:val="right"/>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 xml:space="preserve">Page </w:t>
          </w:r>
          <w:r w:rsidRPr="00D12B87">
            <w:rPr>
              <w:rStyle w:val="LogoportDoNotTranslate"/>
              <w:rFonts w:ascii="Tahoma" w:hAnsi="Tahoma" w:cs="Tahoma"/>
              <w:color w:val="000000" w:themeColor="text1"/>
              <w:sz w:val="16"/>
              <w:szCs w:val="16"/>
            </w:rPr>
            <w:fldChar w:fldCharType="begin"/>
          </w:r>
          <w:r w:rsidRPr="00D12B87">
            <w:rPr>
              <w:rStyle w:val="LogoportDoNotTranslate"/>
              <w:rFonts w:ascii="Tahoma" w:hAnsi="Tahoma" w:cs="Tahoma"/>
              <w:color w:val="000000" w:themeColor="text1"/>
              <w:sz w:val="16"/>
              <w:szCs w:val="16"/>
            </w:rPr>
            <w:instrText xml:space="preserve"> PAGE </w:instrText>
          </w:r>
          <w:r w:rsidRPr="00D12B87">
            <w:rPr>
              <w:rStyle w:val="LogoportDoNotTranslate"/>
              <w:rFonts w:ascii="Tahoma" w:hAnsi="Tahoma" w:cs="Tahoma"/>
              <w:color w:val="000000" w:themeColor="text1"/>
              <w:sz w:val="16"/>
              <w:szCs w:val="16"/>
            </w:rPr>
            <w:fldChar w:fldCharType="separate"/>
          </w:r>
          <w:r w:rsidRPr="00D12B87">
            <w:rPr>
              <w:rStyle w:val="LogoportDoNotTranslate"/>
              <w:rFonts w:ascii="Tahoma" w:hAnsi="Tahoma" w:cs="Tahoma"/>
              <w:color w:val="000000" w:themeColor="text1"/>
              <w:sz w:val="16"/>
              <w:szCs w:val="16"/>
            </w:rPr>
            <w:t>1</w:t>
          </w:r>
          <w:r w:rsidRPr="00D12B87">
            <w:rPr>
              <w:color w:val="000000" w:themeColor="text1"/>
              <w:sz w:val="16"/>
              <w:szCs w:val="16"/>
            </w:rPr>
            <w:fldChar w:fldCharType="end"/>
          </w:r>
          <w:r w:rsidRPr="00D12B87">
            <w:rPr>
              <w:rStyle w:val="LogoportDoNotTranslate"/>
              <w:rFonts w:ascii="Tahoma" w:hAnsi="Tahoma" w:cs="Tahoma"/>
              <w:color w:val="000000" w:themeColor="text1"/>
              <w:sz w:val="16"/>
              <w:szCs w:val="16"/>
            </w:rPr>
            <w:t xml:space="preserve"> of </w:t>
          </w:r>
          <w:r w:rsidRPr="00D12B87">
            <w:rPr>
              <w:rStyle w:val="LogoportDoNotTranslate"/>
              <w:rFonts w:ascii="Tahoma" w:hAnsi="Tahoma" w:cs="Tahoma"/>
              <w:color w:val="000000" w:themeColor="text1"/>
              <w:sz w:val="16"/>
              <w:szCs w:val="16"/>
            </w:rPr>
            <w:fldChar w:fldCharType="begin"/>
          </w:r>
          <w:r w:rsidRPr="00D12B87">
            <w:rPr>
              <w:rStyle w:val="LogoportDoNotTranslate"/>
              <w:rFonts w:ascii="Tahoma" w:hAnsi="Tahoma" w:cs="Tahoma"/>
              <w:color w:val="000000" w:themeColor="text1"/>
              <w:sz w:val="16"/>
              <w:szCs w:val="16"/>
            </w:rPr>
            <w:instrText xml:space="preserve"> NUMPAGES </w:instrText>
          </w:r>
          <w:r w:rsidRPr="00D12B87">
            <w:rPr>
              <w:rStyle w:val="LogoportDoNotTranslate"/>
              <w:rFonts w:ascii="Tahoma" w:hAnsi="Tahoma" w:cs="Tahoma"/>
              <w:color w:val="000000" w:themeColor="text1"/>
              <w:sz w:val="16"/>
              <w:szCs w:val="16"/>
            </w:rPr>
            <w:fldChar w:fldCharType="separate"/>
          </w:r>
          <w:r w:rsidRPr="00D12B87">
            <w:rPr>
              <w:rStyle w:val="LogoportDoNotTranslate"/>
              <w:rFonts w:ascii="Tahoma" w:hAnsi="Tahoma" w:cs="Tahoma"/>
              <w:color w:val="000000" w:themeColor="text1"/>
              <w:sz w:val="16"/>
              <w:szCs w:val="16"/>
            </w:rPr>
            <w:t>9</w:t>
          </w:r>
          <w:r w:rsidRPr="00D12B87">
            <w:rPr>
              <w:color w:val="000000" w:themeColor="text1"/>
              <w:sz w:val="16"/>
              <w:szCs w:val="16"/>
            </w:rPr>
            <w:fldChar w:fldCharType="end"/>
          </w:r>
        </w:p>
      </w:tc>
    </w:tr>
  </w:tbl>
  <w:p w14:paraId="305F7CF1" w14:textId="77777777" w:rsidR="00D93C4E" w:rsidRPr="00D12B87" w:rsidRDefault="00D93C4E" w:rsidP="00D93C4E">
    <w:pPr>
      <w:pStyle w:val="Footer"/>
      <w:rPr>
        <w:rStyle w:val="LogoportDoNotTranslate"/>
        <w:rFonts w:ascii="Tahoma" w:hAnsi="Tahoma" w:cs="Tahoma"/>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AC54B" w14:textId="77777777" w:rsidR="004D018C" w:rsidRDefault="004D018C" w:rsidP="00FD75BC">
      <w:r>
        <w:separator/>
      </w:r>
    </w:p>
  </w:footnote>
  <w:footnote w:type="continuationSeparator" w:id="0">
    <w:p w14:paraId="6952D515" w14:textId="77777777" w:rsidR="004D018C" w:rsidRDefault="004D018C" w:rsidP="00FD75BC">
      <w:r>
        <w:continuationSeparator/>
      </w:r>
    </w:p>
  </w:footnote>
  <w:footnote w:type="continuationNotice" w:id="1">
    <w:p w14:paraId="183D1D4A" w14:textId="77777777" w:rsidR="004D018C" w:rsidRDefault="004D018C"/>
  </w:footnote>
  <w:footnote w:id="2">
    <w:p w14:paraId="29D1D99B" w14:textId="3CAB8D54" w:rsidR="00D12B87" w:rsidRPr="00D12B87" w:rsidRDefault="00D12B87" w:rsidP="00D12B87">
      <w:pPr>
        <w:pStyle w:val="FootnoteText"/>
        <w:spacing w:before="120" w:after="120"/>
        <w:rPr>
          <w:b/>
          <w:bCs/>
          <w:sz w:val="16"/>
          <w:szCs w:val="16"/>
          <w:lang w:val="en-US"/>
        </w:rPr>
      </w:pPr>
      <w:r w:rsidRPr="00D12B87">
        <w:rPr>
          <w:rStyle w:val="FootnoteReference"/>
          <w:b/>
          <w:bCs/>
          <w:sz w:val="16"/>
          <w:szCs w:val="16"/>
        </w:rPr>
        <w:footnoteRef/>
      </w:r>
      <w:r w:rsidRPr="00D12B87">
        <w:rPr>
          <w:b/>
          <w:bCs/>
          <w:sz w:val="16"/>
          <w:szCs w:val="16"/>
        </w:rPr>
        <w:t xml:space="preserve"> LICENZIANTE: per il software concesso in licenza come “Edizione Education” o “Academic Edition”, specificare il nome, ad esempio: Microsoft</w:t>
      </w:r>
      <w:r w:rsidRPr="00D12B87">
        <w:rPr>
          <w:b/>
          <w:bCs/>
          <w:sz w:val="16"/>
          <w:szCs w:val="16"/>
          <w:vertAlign w:val="superscript"/>
        </w:rPr>
        <w:t>®</w:t>
      </w:r>
      <w:r w:rsidRPr="00D12B87">
        <w:rPr>
          <w:b/>
          <w:bCs/>
          <w:sz w:val="16"/>
          <w:szCs w:val="16"/>
        </w:rPr>
        <w:t xml:space="preserve"> Office</w:t>
      </w:r>
      <w:r w:rsidRPr="00D12B87">
        <w:rPr>
          <w:b/>
          <w:bCs/>
          <w:sz w:val="16"/>
          <w:szCs w:val="16"/>
          <w:vertAlign w:val="superscript"/>
        </w:rPr>
        <w:t>®</w:t>
      </w:r>
      <w:r w:rsidRPr="00D12B87">
        <w:rPr>
          <w:b/>
          <w:bCs/>
          <w:sz w:val="16"/>
          <w:szCs w:val="16"/>
        </w:rPr>
        <w:t xml:space="preserve"> LTSC Standard 202</w:t>
      </w:r>
      <w:r w:rsidR="007A2176">
        <w:rPr>
          <w:b/>
          <w:bCs/>
          <w:sz w:val="16"/>
          <w:szCs w:val="16"/>
        </w:rPr>
        <w:t>4</w:t>
      </w:r>
      <w:r w:rsidRPr="00D12B87">
        <w:rPr>
          <w:b/>
          <w:bCs/>
          <w:sz w:val="16"/>
          <w:szCs w:val="16"/>
        </w:rPr>
        <w:t>, Academic Edition.</w:t>
      </w:r>
    </w:p>
  </w:footnote>
  <w:footnote w:id="3">
    <w:p w14:paraId="47B46FA9" w14:textId="2057B0AB" w:rsidR="00D12B87" w:rsidRPr="00D12B87" w:rsidRDefault="00D12B87" w:rsidP="00D12B87">
      <w:pPr>
        <w:pStyle w:val="FootnoteText"/>
        <w:spacing w:before="120" w:after="120"/>
        <w:rPr>
          <w:b/>
          <w:bCs/>
          <w:sz w:val="16"/>
          <w:szCs w:val="16"/>
          <w:lang w:val="en-US"/>
        </w:rPr>
      </w:pPr>
      <w:r w:rsidRPr="00D12B87">
        <w:rPr>
          <w:rStyle w:val="FootnoteReference"/>
          <w:b/>
          <w:bCs/>
          <w:sz w:val="16"/>
          <w:szCs w:val="16"/>
        </w:rPr>
        <w:footnoteRef/>
      </w:r>
      <w:r w:rsidRPr="00D12B87">
        <w:rPr>
          <w:b/>
          <w:bCs/>
          <w:sz w:val="16"/>
          <w:szCs w:val="16"/>
        </w:rPr>
        <w:t xml:space="preserve"> 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13C607EC"/>
    <w:lvl w:ilvl="0" w:tplc="6250F04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B1A85B2"/>
    <w:lvl w:ilvl="0" w:tplc="A1FA661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4630327E"/>
    <w:lvl w:ilvl="0" w:tplc="DA6CFB90">
      <w:start w:val="1"/>
      <w:numFmt w:val="decimal"/>
      <w:lvlText w:val="%1."/>
      <w:lvlJc w:val="left"/>
      <w:pPr>
        <w:ind w:left="720" w:hanging="360"/>
      </w:pPr>
      <w:rPr>
        <w:rFonts w:hint="default"/>
        <w:b/>
        <w:sz w:val="20"/>
        <w:szCs w:val="20"/>
      </w:rPr>
    </w:lvl>
    <w:lvl w:ilvl="1" w:tplc="730E752A">
      <w:start w:val="1"/>
      <w:numFmt w:val="lowerLetter"/>
      <w:lvlText w:val="%2."/>
      <w:lvlJc w:val="left"/>
      <w:pPr>
        <w:ind w:left="1440" w:hanging="360"/>
      </w:pPr>
      <w:rPr>
        <w:rFonts w:hint="default"/>
        <w:b/>
        <w:sz w:val="20"/>
        <w:szCs w:val="20"/>
      </w:rPr>
    </w:lvl>
    <w:lvl w:ilvl="2" w:tplc="7464966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3721013">
    <w:abstractNumId w:val="9"/>
  </w:num>
  <w:num w:numId="2" w16cid:durableId="2109542685">
    <w:abstractNumId w:val="3"/>
  </w:num>
  <w:num w:numId="3" w16cid:durableId="1010569574">
    <w:abstractNumId w:val="0"/>
  </w:num>
  <w:num w:numId="4" w16cid:durableId="2013101739">
    <w:abstractNumId w:val="5"/>
  </w:num>
  <w:num w:numId="5" w16cid:durableId="1135832897">
    <w:abstractNumId w:val="2"/>
  </w:num>
  <w:num w:numId="6" w16cid:durableId="419645255">
    <w:abstractNumId w:val="4"/>
  </w:num>
  <w:num w:numId="7" w16cid:durableId="1952082239">
    <w:abstractNumId w:val="7"/>
  </w:num>
  <w:num w:numId="8" w16cid:durableId="1417939440">
    <w:abstractNumId w:val="10"/>
  </w:num>
  <w:num w:numId="9" w16cid:durableId="1607540024">
    <w:abstractNumId w:val="8"/>
  </w:num>
  <w:num w:numId="10" w16cid:durableId="476068224">
    <w:abstractNumId w:val="1"/>
  </w:num>
  <w:num w:numId="11" w16cid:durableId="310064708">
    <w:abstractNumId w:val="6"/>
  </w:num>
  <w:num w:numId="12" w16cid:durableId="5114607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5pSVgTEfwvfegx0W0msIBOXjuh6iuH9kGAlE9O/9tYoWktpNgeifjtIPyFG1+X4FYsLZIuDf1ZxaQLMGkvmFBw==" w:salt="j1Z+9NFJqddPXhfXTQAt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5681"/>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DAB"/>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2F66"/>
    <w:rsid w:val="002D39F0"/>
    <w:rsid w:val="002D464C"/>
    <w:rsid w:val="002E7153"/>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20"/>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018C"/>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3EA"/>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2176"/>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45C"/>
    <w:rsid w:val="008E0D4D"/>
    <w:rsid w:val="008E2464"/>
    <w:rsid w:val="008E4178"/>
    <w:rsid w:val="008E5B2F"/>
    <w:rsid w:val="008E5C5A"/>
    <w:rsid w:val="008E628D"/>
    <w:rsid w:val="008E7BBF"/>
    <w:rsid w:val="008E7D44"/>
    <w:rsid w:val="008F1A81"/>
    <w:rsid w:val="008F1D19"/>
    <w:rsid w:val="008F1EFD"/>
    <w:rsid w:val="008F2384"/>
    <w:rsid w:val="008F2E2A"/>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22C"/>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87247"/>
    <w:rsid w:val="00A94157"/>
    <w:rsid w:val="00A968E8"/>
    <w:rsid w:val="00AA04AF"/>
    <w:rsid w:val="00AA357B"/>
    <w:rsid w:val="00AA4564"/>
    <w:rsid w:val="00AA6007"/>
    <w:rsid w:val="00AA7253"/>
    <w:rsid w:val="00AA7E07"/>
    <w:rsid w:val="00AB0F5B"/>
    <w:rsid w:val="00AB5811"/>
    <w:rsid w:val="00AB7136"/>
    <w:rsid w:val="00AC02E5"/>
    <w:rsid w:val="00AC0AFC"/>
    <w:rsid w:val="00AC2399"/>
    <w:rsid w:val="00AC2E77"/>
    <w:rsid w:val="00AC3850"/>
    <w:rsid w:val="00AC5420"/>
    <w:rsid w:val="00AD0216"/>
    <w:rsid w:val="00AD25EE"/>
    <w:rsid w:val="00AE2B07"/>
    <w:rsid w:val="00AE2FB5"/>
    <w:rsid w:val="00AE3DD3"/>
    <w:rsid w:val="00AE7D95"/>
    <w:rsid w:val="00AF0E8E"/>
    <w:rsid w:val="00AF6B2B"/>
    <w:rsid w:val="00B04650"/>
    <w:rsid w:val="00B046D6"/>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85B"/>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2B87"/>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6751D"/>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2E715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E7153"/>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D12B87"/>
    <w:rPr>
      <w:sz w:val="20"/>
      <w:szCs w:val="20"/>
    </w:rPr>
  </w:style>
  <w:style w:type="character" w:customStyle="1" w:styleId="FootnoteTextChar">
    <w:name w:val="Footnote Text Char"/>
    <w:basedOn w:val="DefaultParagraphFont"/>
    <w:link w:val="FootnoteText"/>
    <w:uiPriority w:val="99"/>
    <w:semiHidden/>
    <w:rsid w:val="00D12B87"/>
    <w:rPr>
      <w:rFonts w:ascii="Tahoma" w:hAnsi="Tahoma" w:cs="Tahoma"/>
      <w:sz w:val="20"/>
      <w:szCs w:val="20"/>
    </w:rPr>
  </w:style>
  <w:style w:type="character" w:styleId="FootnoteReference">
    <w:name w:val="footnote reference"/>
    <w:basedOn w:val="DefaultParagraphFont"/>
    <w:uiPriority w:val="99"/>
    <w:semiHidden/>
    <w:unhideWhenUsed/>
    <w:rsid w:val="00D12B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97D0CF36-05E6-4D38-B77E-118AEB725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5312</Words>
  <Characters>30281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17</cp:revision>
  <cp:lastPrinted>2021-10-20T21:45:00Z</cp:lastPrinted>
  <dcterms:created xsi:type="dcterms:W3CDTF">2021-10-13T01:24:00Z</dcterms:created>
  <dcterms:modified xsi:type="dcterms:W3CDTF">2024-10-24T20:22:00Z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